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01" w:rsidRPr="00745C01" w:rsidRDefault="00745C01" w:rsidP="00745C01">
      <w:pPr>
        <w:pStyle w:val="a5"/>
        <w:jc w:val="center"/>
        <w:rPr>
          <w:sz w:val="28"/>
          <w:szCs w:val="28"/>
        </w:rPr>
      </w:pPr>
      <w:r w:rsidRPr="00745C01">
        <w:rPr>
          <w:sz w:val="28"/>
          <w:szCs w:val="28"/>
        </w:rPr>
        <w:t xml:space="preserve">财政部 国家税务总局关于中国兵器工业集团公司和中国兵器装备集团公司所属企业城镇土地使用税政策的通知 </w:t>
      </w:r>
    </w:p>
    <w:p w:rsidR="00745C01" w:rsidRPr="00745C01" w:rsidRDefault="00745C01" w:rsidP="00745C01">
      <w:pPr>
        <w:pStyle w:val="a5"/>
        <w:jc w:val="center"/>
        <w:rPr>
          <w:sz w:val="28"/>
          <w:szCs w:val="28"/>
        </w:rPr>
      </w:pPr>
      <w:r w:rsidRPr="00745C01">
        <w:rPr>
          <w:sz w:val="28"/>
          <w:szCs w:val="28"/>
        </w:rPr>
        <w:t>财税[2013]60号              </w:t>
      </w:r>
      <w:bookmarkStart w:id="0" w:name="_GoBack"/>
      <w:bookmarkEnd w:id="0"/>
      <w:r w:rsidRPr="00745C01">
        <w:rPr>
          <w:sz w:val="28"/>
          <w:szCs w:val="28"/>
        </w:rPr>
        <w:t>        2013-9-17</w:t>
      </w:r>
    </w:p>
    <w:p w:rsidR="00745C01" w:rsidRDefault="00745C01" w:rsidP="00745C01">
      <w:pPr>
        <w:pStyle w:val="a5"/>
      </w:pPr>
      <w:r>
        <w:t>各省、自治区、直辖市、计划单列市财政厅(局)、地方税务局，西藏、宁夏、青海省(自治区)国家税务局，新疆生产建设兵团财务局：</w:t>
      </w:r>
      <w:r>
        <w:br/>
        <w:t xml:space="preserve">　　</w:t>
      </w:r>
      <w:r>
        <w:br/>
        <w:t>经国务院批准，自2013年1月1日起至2013年12月31日止，对中国兵器工业集团公司和中国兵器装备集团公司所属专门生产枪炮弹、火炸药、引信、火工品的企业，除办公、生活区用地外，其他用地继续免征城镇土地使用税。</w:t>
      </w:r>
      <w:r>
        <w:br/>
        <w:t xml:space="preserve">　　</w:t>
      </w:r>
      <w:r>
        <w:br/>
        <w:t>请遵照执行。</w:t>
      </w:r>
    </w:p>
    <w:p w:rsidR="002D2EB3" w:rsidRDefault="002D2EB3"/>
    <w:sectPr w:rsidR="002D2E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73A" w:rsidRDefault="00DF473A" w:rsidP="00745C01">
      <w:r>
        <w:separator/>
      </w:r>
    </w:p>
  </w:endnote>
  <w:endnote w:type="continuationSeparator" w:id="0">
    <w:p w:rsidR="00DF473A" w:rsidRDefault="00DF473A" w:rsidP="0074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73A" w:rsidRDefault="00DF473A" w:rsidP="00745C01">
      <w:r>
        <w:separator/>
      </w:r>
    </w:p>
  </w:footnote>
  <w:footnote w:type="continuationSeparator" w:id="0">
    <w:p w:rsidR="00DF473A" w:rsidRDefault="00DF473A" w:rsidP="00745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56"/>
    <w:rsid w:val="002D2EB3"/>
    <w:rsid w:val="00745C01"/>
    <w:rsid w:val="00DF473A"/>
    <w:rsid w:val="00F8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5C01"/>
    <w:rPr>
      <w:sz w:val="18"/>
      <w:szCs w:val="18"/>
    </w:rPr>
  </w:style>
  <w:style w:type="paragraph" w:styleId="a4">
    <w:name w:val="footer"/>
    <w:basedOn w:val="a"/>
    <w:link w:val="Char0"/>
    <w:uiPriority w:val="99"/>
    <w:unhideWhenUsed/>
    <w:rsid w:val="00745C01"/>
    <w:pPr>
      <w:tabs>
        <w:tab w:val="center" w:pos="4153"/>
        <w:tab w:val="right" w:pos="8306"/>
      </w:tabs>
      <w:snapToGrid w:val="0"/>
      <w:jc w:val="left"/>
    </w:pPr>
    <w:rPr>
      <w:sz w:val="18"/>
      <w:szCs w:val="18"/>
    </w:rPr>
  </w:style>
  <w:style w:type="character" w:customStyle="1" w:styleId="Char0">
    <w:name w:val="页脚 Char"/>
    <w:basedOn w:val="a0"/>
    <w:link w:val="a4"/>
    <w:uiPriority w:val="99"/>
    <w:rsid w:val="00745C01"/>
    <w:rPr>
      <w:sz w:val="18"/>
      <w:szCs w:val="18"/>
    </w:rPr>
  </w:style>
  <w:style w:type="paragraph" w:styleId="a5">
    <w:name w:val="Normal (Web)"/>
    <w:basedOn w:val="a"/>
    <w:uiPriority w:val="99"/>
    <w:semiHidden/>
    <w:unhideWhenUsed/>
    <w:rsid w:val="00745C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5C01"/>
    <w:rPr>
      <w:sz w:val="18"/>
      <w:szCs w:val="18"/>
    </w:rPr>
  </w:style>
  <w:style w:type="paragraph" w:styleId="a4">
    <w:name w:val="footer"/>
    <w:basedOn w:val="a"/>
    <w:link w:val="Char0"/>
    <w:uiPriority w:val="99"/>
    <w:unhideWhenUsed/>
    <w:rsid w:val="00745C01"/>
    <w:pPr>
      <w:tabs>
        <w:tab w:val="center" w:pos="4153"/>
        <w:tab w:val="right" w:pos="8306"/>
      </w:tabs>
      <w:snapToGrid w:val="0"/>
      <w:jc w:val="left"/>
    </w:pPr>
    <w:rPr>
      <w:sz w:val="18"/>
      <w:szCs w:val="18"/>
    </w:rPr>
  </w:style>
  <w:style w:type="character" w:customStyle="1" w:styleId="Char0">
    <w:name w:val="页脚 Char"/>
    <w:basedOn w:val="a0"/>
    <w:link w:val="a4"/>
    <w:uiPriority w:val="99"/>
    <w:rsid w:val="00745C01"/>
    <w:rPr>
      <w:sz w:val="18"/>
      <w:szCs w:val="18"/>
    </w:rPr>
  </w:style>
  <w:style w:type="paragraph" w:styleId="a5">
    <w:name w:val="Normal (Web)"/>
    <w:basedOn w:val="a"/>
    <w:uiPriority w:val="99"/>
    <w:semiHidden/>
    <w:unhideWhenUsed/>
    <w:rsid w:val="00745C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2013-11-14T02:18:00Z</dcterms:created>
  <dcterms:modified xsi:type="dcterms:W3CDTF">2013-11-14T02:18:00Z</dcterms:modified>
</cp:coreProperties>
</file>