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9D" w:rsidRDefault="00F72D9D" w:rsidP="00F72D9D">
      <w:pPr>
        <w:widowControl/>
        <w:spacing w:before="100" w:beforeAutospacing="1" w:after="100" w:afterAutospacing="1" w:line="379" w:lineRule="auto"/>
        <w:jc w:val="center"/>
        <w:rPr>
          <w:rFonts w:ascii="Arial" w:eastAsia="宋体" w:hAnsi="Arial" w:cs="Arial" w:hint="eastAsia"/>
          <w:color w:val="FF0000"/>
          <w:kern w:val="0"/>
          <w:sz w:val="24"/>
          <w:szCs w:val="24"/>
        </w:rPr>
      </w:pPr>
      <w:r w:rsidRPr="00F72D9D">
        <w:rPr>
          <w:rFonts w:ascii="Arial" w:eastAsia="宋体" w:hAnsi="Arial" w:cs="Arial"/>
          <w:color w:val="FF0000"/>
          <w:kern w:val="0"/>
          <w:sz w:val="24"/>
          <w:szCs w:val="24"/>
        </w:rPr>
        <w:t>财政部国家税务总局</w:t>
      </w:r>
    </w:p>
    <w:p w:rsidR="00F72D9D" w:rsidRPr="00F72D9D" w:rsidRDefault="00F72D9D" w:rsidP="00F72D9D">
      <w:pPr>
        <w:widowControl/>
        <w:spacing w:before="100" w:beforeAutospacing="1" w:after="100" w:afterAutospacing="1" w:line="379" w:lineRule="auto"/>
        <w:jc w:val="center"/>
        <w:rPr>
          <w:rFonts w:ascii="Arial" w:eastAsia="宋体" w:hAnsi="Arial" w:cs="Arial"/>
          <w:color w:val="454545"/>
          <w:kern w:val="0"/>
          <w:sz w:val="18"/>
          <w:szCs w:val="18"/>
        </w:rPr>
      </w:pPr>
      <w:bookmarkStart w:id="0" w:name="_GoBack"/>
      <w:r w:rsidRPr="00F72D9D">
        <w:rPr>
          <w:rFonts w:ascii="Arial" w:eastAsia="宋体" w:hAnsi="Arial" w:cs="Arial"/>
          <w:color w:val="FF0000"/>
          <w:kern w:val="0"/>
          <w:sz w:val="24"/>
          <w:szCs w:val="24"/>
        </w:rPr>
        <w:t>关于退还集成电路企业采购设备增值税期末留抵税额的通知</w:t>
      </w:r>
      <w:bookmarkEnd w:id="0"/>
    </w:p>
    <w:p w:rsidR="00F72D9D" w:rsidRPr="00F72D9D" w:rsidRDefault="00F72D9D" w:rsidP="00F72D9D">
      <w:pPr>
        <w:widowControl/>
        <w:spacing w:before="100" w:beforeAutospacing="1" w:after="100" w:afterAutospacing="1" w:line="379" w:lineRule="auto"/>
        <w:jc w:val="center"/>
        <w:rPr>
          <w:rFonts w:ascii="Arial" w:eastAsia="宋体" w:hAnsi="Arial" w:cs="Arial"/>
          <w:color w:val="454545"/>
          <w:kern w:val="0"/>
          <w:sz w:val="18"/>
          <w:szCs w:val="18"/>
        </w:rPr>
      </w:pPr>
      <w:r w:rsidRPr="00F72D9D">
        <w:rPr>
          <w:rFonts w:ascii="Arial" w:eastAsia="宋体" w:hAnsi="Arial" w:cs="Arial"/>
          <w:color w:val="0000FF"/>
          <w:kern w:val="0"/>
          <w:sz w:val="20"/>
          <w:szCs w:val="20"/>
        </w:rPr>
        <w:t>财税</w:t>
      </w:r>
      <w:r w:rsidRPr="00F72D9D">
        <w:rPr>
          <w:rFonts w:ascii="Arial" w:eastAsia="宋体" w:hAnsi="Arial" w:cs="Arial"/>
          <w:color w:val="0000FF"/>
          <w:kern w:val="0"/>
          <w:sz w:val="20"/>
          <w:szCs w:val="20"/>
        </w:rPr>
        <w:t>[2011]107</w:t>
      </w:r>
      <w:r w:rsidRPr="00F72D9D">
        <w:rPr>
          <w:rFonts w:ascii="Arial" w:eastAsia="宋体" w:hAnsi="Arial" w:cs="Arial"/>
          <w:color w:val="0000FF"/>
          <w:kern w:val="0"/>
          <w:sz w:val="20"/>
          <w:szCs w:val="20"/>
        </w:rPr>
        <w:t>号</w:t>
      </w:r>
      <w:r w:rsidRPr="00F72D9D">
        <w:rPr>
          <w:rFonts w:ascii="Arial" w:eastAsia="宋体" w:hAnsi="Arial" w:cs="Arial"/>
          <w:color w:val="454545"/>
          <w:kern w:val="0"/>
          <w:sz w:val="20"/>
          <w:szCs w:val="20"/>
        </w:rPr>
        <w:t>                        2011.11.14</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北京、天津、内蒙古、大连、上海、江苏、安徽、厦门、湖北、深圳、重庆、广东省（自治区、直辖市、计划单列市）财政厅（局）、国家税务局，财政部驻北京、天津、内蒙古、大连、上海、江苏、安徽、厦门、湖北、深圳、重庆、广东省（自治区、直辖市、计划单列市）财政监察专员办事处：</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为落实《国务院关于印发进一步鼓励软件产业和集成电路产业发展若干政策的通知》（国发</w:t>
      </w:r>
      <w:r w:rsidRPr="00F72D9D">
        <w:rPr>
          <w:rFonts w:ascii="Arial" w:eastAsia="宋体" w:hAnsi="Arial" w:cs="Arial"/>
          <w:color w:val="454545"/>
          <w:kern w:val="0"/>
          <w:sz w:val="20"/>
          <w:szCs w:val="20"/>
        </w:rPr>
        <w:t>[2011]4</w:t>
      </w:r>
      <w:r w:rsidRPr="00F72D9D">
        <w:rPr>
          <w:rFonts w:ascii="Arial" w:eastAsia="宋体" w:hAnsi="Arial" w:cs="Arial"/>
          <w:color w:val="454545"/>
          <w:kern w:val="0"/>
          <w:sz w:val="20"/>
          <w:szCs w:val="20"/>
        </w:rPr>
        <w:t>号）有关要求，解决集成电路重大项目企业采购设备引起的增值税进项税额占用资金问题，决定对其因购进设备形成的增值税期末留抵税额予以退还。现将有关事项通知如下：</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一、对国家批准的集成电路重大项目企业（具体名单见附件）因购进设备形成的增值税期末留抵税额（以下称购进设备留抵税额）准予退还。购进的设备应属于《中华人民共和国增值税暂行条例实施细则》第二十一条第二款规定的固定资产范围。</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20"/>
          <w:szCs w:val="20"/>
        </w:rPr>
      </w:pPr>
      <w:r w:rsidRPr="00F72D9D">
        <w:rPr>
          <w:rFonts w:ascii="Arial" w:eastAsia="宋体" w:hAnsi="Arial" w:cs="Arial"/>
          <w:color w:val="454545"/>
          <w:kern w:val="0"/>
          <w:sz w:val="20"/>
          <w:szCs w:val="20"/>
        </w:rPr>
        <w:t>二、准予退还的购进设备留抵税额的计算</w:t>
      </w:r>
      <w:r w:rsidRPr="00F72D9D">
        <w:rPr>
          <w:rFonts w:ascii="Arial" w:eastAsia="宋体" w:hAnsi="Arial" w:cs="Arial"/>
          <w:color w:val="454545"/>
          <w:kern w:val="0"/>
          <w:sz w:val="20"/>
          <w:szCs w:val="20"/>
        </w:rPr>
        <w:br/>
      </w:r>
      <w:r w:rsidRPr="00F72D9D">
        <w:rPr>
          <w:rFonts w:ascii="Arial" w:eastAsia="宋体" w:hAnsi="Arial" w:cs="Arial"/>
          <w:color w:val="454545"/>
          <w:kern w:val="0"/>
          <w:sz w:val="20"/>
          <w:szCs w:val="20"/>
        </w:rPr>
        <w:t>企业当期购进设备进项税额大于当期增值税纳税申报表</w:t>
      </w:r>
      <w:r w:rsidRPr="00F72D9D">
        <w:rPr>
          <w:rFonts w:ascii="Arial" w:eastAsia="宋体" w:hAnsi="Arial" w:cs="Arial"/>
          <w:color w:val="454545"/>
          <w:kern w:val="0"/>
          <w:sz w:val="20"/>
          <w:szCs w:val="20"/>
        </w:rPr>
        <w:t>“</w:t>
      </w:r>
      <w:r w:rsidRPr="00F72D9D">
        <w:rPr>
          <w:rFonts w:ascii="Arial" w:eastAsia="宋体" w:hAnsi="Arial" w:cs="Arial"/>
          <w:color w:val="454545"/>
          <w:kern w:val="0"/>
          <w:sz w:val="20"/>
          <w:szCs w:val="20"/>
        </w:rPr>
        <w:t>期末留抵税额</w:t>
      </w:r>
      <w:r w:rsidRPr="00F72D9D">
        <w:rPr>
          <w:rFonts w:ascii="Arial" w:eastAsia="宋体" w:hAnsi="Arial" w:cs="Arial"/>
          <w:color w:val="454545"/>
          <w:kern w:val="0"/>
          <w:sz w:val="20"/>
          <w:szCs w:val="20"/>
        </w:rPr>
        <w:t>”</w:t>
      </w:r>
      <w:r w:rsidRPr="00F72D9D">
        <w:rPr>
          <w:rFonts w:ascii="Arial" w:eastAsia="宋体" w:hAnsi="Arial" w:cs="Arial"/>
          <w:color w:val="454545"/>
          <w:kern w:val="0"/>
          <w:sz w:val="20"/>
          <w:szCs w:val="20"/>
        </w:rPr>
        <w:t>的，当期准予退还的购进设备留抵税额为期末留抵税额；企业当期购进设备进项税额小于当期增值税纳税申报表</w:t>
      </w:r>
      <w:r w:rsidRPr="00F72D9D">
        <w:rPr>
          <w:rFonts w:ascii="Arial" w:eastAsia="宋体" w:hAnsi="Arial" w:cs="Arial"/>
          <w:color w:val="454545"/>
          <w:kern w:val="0"/>
          <w:sz w:val="20"/>
          <w:szCs w:val="20"/>
        </w:rPr>
        <w:t>“</w:t>
      </w:r>
      <w:r w:rsidRPr="00F72D9D">
        <w:rPr>
          <w:rFonts w:ascii="Arial" w:eastAsia="宋体" w:hAnsi="Arial" w:cs="Arial"/>
          <w:color w:val="454545"/>
          <w:kern w:val="0"/>
          <w:sz w:val="20"/>
          <w:szCs w:val="20"/>
        </w:rPr>
        <w:t>期末留抵税额</w:t>
      </w:r>
      <w:r w:rsidRPr="00F72D9D">
        <w:rPr>
          <w:rFonts w:ascii="Arial" w:eastAsia="宋体" w:hAnsi="Arial" w:cs="Arial"/>
          <w:color w:val="454545"/>
          <w:kern w:val="0"/>
          <w:sz w:val="20"/>
          <w:szCs w:val="20"/>
        </w:rPr>
        <w:t>”</w:t>
      </w:r>
      <w:r w:rsidRPr="00F72D9D">
        <w:rPr>
          <w:rFonts w:ascii="Arial" w:eastAsia="宋体" w:hAnsi="Arial" w:cs="Arial"/>
          <w:color w:val="454545"/>
          <w:kern w:val="0"/>
          <w:sz w:val="20"/>
          <w:szCs w:val="20"/>
        </w:rPr>
        <w:t>的，当期准于退还的购进设备留抵税额为当期购进设备进项税额。</w:t>
      </w:r>
      <w:r w:rsidRPr="00F72D9D">
        <w:rPr>
          <w:rFonts w:ascii="Arial" w:eastAsia="宋体" w:hAnsi="Arial" w:cs="Arial"/>
          <w:color w:val="454545"/>
          <w:kern w:val="0"/>
          <w:sz w:val="18"/>
          <w:szCs w:val="18"/>
        </w:rPr>
        <w:t xml:space="preserve"> </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当期购进设备进项税额，是指企业取得的按照现行规定允许在当期抵扣的增值税专用发票或海关进口增值税专用缴款书（限于</w:t>
      </w:r>
      <w:r w:rsidRPr="00F72D9D">
        <w:rPr>
          <w:rFonts w:ascii="Arial" w:eastAsia="宋体" w:hAnsi="Arial" w:cs="Arial"/>
          <w:color w:val="454545"/>
          <w:kern w:val="0"/>
          <w:sz w:val="20"/>
          <w:szCs w:val="20"/>
        </w:rPr>
        <w:t>2009</w:t>
      </w:r>
      <w:r w:rsidRPr="00F72D9D">
        <w:rPr>
          <w:rFonts w:ascii="Arial" w:eastAsia="宋体" w:hAnsi="Arial" w:cs="Arial"/>
          <w:color w:val="454545"/>
          <w:kern w:val="0"/>
          <w:sz w:val="20"/>
          <w:szCs w:val="20"/>
        </w:rPr>
        <w:t>年</w:t>
      </w:r>
      <w:r w:rsidRPr="00F72D9D">
        <w:rPr>
          <w:rFonts w:ascii="Arial" w:eastAsia="宋体" w:hAnsi="Arial" w:cs="Arial"/>
          <w:color w:val="454545"/>
          <w:kern w:val="0"/>
          <w:sz w:val="20"/>
          <w:szCs w:val="20"/>
        </w:rPr>
        <w:t>1</w:t>
      </w:r>
      <w:r w:rsidRPr="00F72D9D">
        <w:rPr>
          <w:rFonts w:ascii="Arial" w:eastAsia="宋体" w:hAnsi="Arial" w:cs="Arial"/>
          <w:color w:val="454545"/>
          <w:kern w:val="0"/>
          <w:sz w:val="20"/>
          <w:szCs w:val="20"/>
        </w:rPr>
        <w:t>月</w:t>
      </w:r>
      <w:r w:rsidRPr="00F72D9D">
        <w:rPr>
          <w:rFonts w:ascii="Arial" w:eastAsia="宋体" w:hAnsi="Arial" w:cs="Arial"/>
          <w:color w:val="454545"/>
          <w:kern w:val="0"/>
          <w:sz w:val="20"/>
          <w:szCs w:val="20"/>
        </w:rPr>
        <w:t>1</w:t>
      </w:r>
      <w:r w:rsidRPr="00F72D9D">
        <w:rPr>
          <w:rFonts w:ascii="Arial" w:eastAsia="宋体" w:hAnsi="Arial" w:cs="Arial"/>
          <w:color w:val="454545"/>
          <w:kern w:val="0"/>
          <w:sz w:val="20"/>
          <w:szCs w:val="20"/>
        </w:rPr>
        <w:t>日及以后开具的）上注明的增值税额。</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三、退还购进设备留抵税额的申请和审批</w:t>
      </w:r>
      <w:r w:rsidRPr="00F72D9D">
        <w:rPr>
          <w:rFonts w:ascii="Arial" w:eastAsia="宋体" w:hAnsi="Arial" w:cs="Arial"/>
          <w:color w:val="454545"/>
          <w:kern w:val="0"/>
          <w:sz w:val="20"/>
          <w:szCs w:val="20"/>
        </w:rPr>
        <w:br/>
      </w:r>
      <w:r w:rsidRPr="00F72D9D">
        <w:rPr>
          <w:rFonts w:ascii="Arial" w:eastAsia="宋体" w:hAnsi="Arial" w:cs="Arial"/>
          <w:color w:val="454545"/>
          <w:kern w:val="0"/>
          <w:sz w:val="20"/>
          <w:szCs w:val="20"/>
        </w:rPr>
        <w:t>（一）企业应于每月申报期结束后</w:t>
      </w:r>
      <w:r w:rsidRPr="00F72D9D">
        <w:rPr>
          <w:rFonts w:ascii="Arial" w:eastAsia="宋体" w:hAnsi="Arial" w:cs="Arial"/>
          <w:color w:val="454545"/>
          <w:kern w:val="0"/>
          <w:sz w:val="20"/>
          <w:szCs w:val="20"/>
        </w:rPr>
        <w:t>10</w:t>
      </w:r>
      <w:r w:rsidRPr="00F72D9D">
        <w:rPr>
          <w:rFonts w:ascii="Arial" w:eastAsia="宋体" w:hAnsi="Arial" w:cs="Arial"/>
          <w:color w:val="454545"/>
          <w:kern w:val="0"/>
          <w:sz w:val="20"/>
          <w:szCs w:val="20"/>
        </w:rPr>
        <w:t>个工作日内向主管税务机关申请退还购进设备留抵税额。</w:t>
      </w:r>
      <w:r w:rsidRPr="00F72D9D">
        <w:rPr>
          <w:rFonts w:ascii="Arial" w:eastAsia="宋体" w:hAnsi="Arial" w:cs="Arial"/>
          <w:color w:val="454545"/>
          <w:kern w:val="0"/>
          <w:sz w:val="20"/>
          <w:szCs w:val="20"/>
        </w:rPr>
        <w:br/>
      </w:r>
      <w:r w:rsidRPr="00F72D9D">
        <w:rPr>
          <w:rFonts w:ascii="Arial" w:eastAsia="宋体" w:hAnsi="Arial" w:cs="Arial"/>
          <w:color w:val="454545"/>
          <w:kern w:val="0"/>
          <w:sz w:val="20"/>
          <w:szCs w:val="20"/>
        </w:rPr>
        <w:t>主管税务机关接到企业申请后，应审核企业提供的增值税专用发票或海关进口增值税专用缴款书</w:t>
      </w:r>
      <w:r w:rsidRPr="00F72D9D">
        <w:rPr>
          <w:rFonts w:ascii="Arial" w:eastAsia="宋体" w:hAnsi="Arial" w:cs="Arial"/>
          <w:color w:val="454545"/>
          <w:kern w:val="0"/>
          <w:sz w:val="20"/>
          <w:szCs w:val="20"/>
        </w:rPr>
        <w:lastRenderedPageBreak/>
        <w:t>是否符合现行政策规定，其注明的设备名称与企业实际购进的设备是否一致，申请退还的购进设备留抵税额是否正确。审核无误后，由县（区、市）级主管税务机关审批。</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（二）企业收到退税款项的当月，应将退税额从增值税进项税额中转出。未转出的，按照《中华人民共和国税收征收管理法》有关规定承担相应法律责任。</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（三）企业首次申请退还购进设备留抵税额时，可将</w:t>
      </w:r>
      <w:r w:rsidRPr="00F72D9D">
        <w:rPr>
          <w:rFonts w:ascii="Arial" w:eastAsia="宋体" w:hAnsi="Arial" w:cs="Arial"/>
          <w:color w:val="454545"/>
          <w:kern w:val="0"/>
          <w:sz w:val="20"/>
          <w:szCs w:val="20"/>
        </w:rPr>
        <w:t>2009</w:t>
      </w:r>
      <w:r w:rsidRPr="00F72D9D">
        <w:rPr>
          <w:rFonts w:ascii="Arial" w:eastAsia="宋体" w:hAnsi="Arial" w:cs="Arial"/>
          <w:color w:val="454545"/>
          <w:kern w:val="0"/>
          <w:sz w:val="20"/>
          <w:szCs w:val="20"/>
        </w:rPr>
        <w:t>年以来形成的购进设备留抵税额，按照上述规定一次性申请退还。</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四、退还的购进设备留抵税额由中央和地方按照现行增值税分享比例共同负担。</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五、本通知自</w:t>
      </w:r>
      <w:r w:rsidRPr="00F72D9D">
        <w:rPr>
          <w:rFonts w:ascii="Arial" w:eastAsia="宋体" w:hAnsi="Arial" w:cs="Arial"/>
          <w:color w:val="454545"/>
          <w:kern w:val="0"/>
          <w:sz w:val="20"/>
          <w:szCs w:val="20"/>
        </w:rPr>
        <w:t>2011</w:t>
      </w:r>
      <w:r w:rsidRPr="00F72D9D">
        <w:rPr>
          <w:rFonts w:ascii="Arial" w:eastAsia="宋体" w:hAnsi="Arial" w:cs="Arial"/>
          <w:color w:val="454545"/>
          <w:kern w:val="0"/>
          <w:sz w:val="20"/>
          <w:szCs w:val="20"/>
        </w:rPr>
        <w:t>年</w:t>
      </w:r>
      <w:r w:rsidRPr="00F72D9D">
        <w:rPr>
          <w:rFonts w:ascii="Arial" w:eastAsia="宋体" w:hAnsi="Arial" w:cs="Arial"/>
          <w:color w:val="454545"/>
          <w:kern w:val="0"/>
          <w:sz w:val="20"/>
          <w:szCs w:val="20"/>
        </w:rPr>
        <w:t>11</w:t>
      </w:r>
      <w:r w:rsidRPr="00F72D9D">
        <w:rPr>
          <w:rFonts w:ascii="Arial" w:eastAsia="宋体" w:hAnsi="Arial" w:cs="Arial"/>
          <w:color w:val="454545"/>
          <w:kern w:val="0"/>
          <w:sz w:val="20"/>
          <w:szCs w:val="20"/>
        </w:rPr>
        <w:t>月</w:t>
      </w:r>
      <w:r w:rsidRPr="00F72D9D">
        <w:rPr>
          <w:rFonts w:ascii="Arial" w:eastAsia="宋体" w:hAnsi="Arial" w:cs="Arial"/>
          <w:color w:val="454545"/>
          <w:kern w:val="0"/>
          <w:sz w:val="20"/>
          <w:szCs w:val="20"/>
        </w:rPr>
        <w:t>1</w:t>
      </w:r>
      <w:r w:rsidRPr="00F72D9D">
        <w:rPr>
          <w:rFonts w:ascii="Arial" w:eastAsia="宋体" w:hAnsi="Arial" w:cs="Arial"/>
          <w:color w:val="454545"/>
          <w:kern w:val="0"/>
          <w:sz w:val="20"/>
          <w:szCs w:val="20"/>
        </w:rPr>
        <w:t>日起执行。</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附件：国家批准的集成电路重大项目企业名单</w:t>
      </w:r>
    </w:p>
    <w:p w:rsidR="00F72D9D" w:rsidRPr="00F72D9D" w:rsidRDefault="00F72D9D" w:rsidP="00F72D9D">
      <w:pPr>
        <w:widowControl/>
        <w:spacing w:before="100" w:beforeAutospacing="1" w:after="100" w:afterAutospacing="1" w:line="379" w:lineRule="auto"/>
        <w:jc w:val="left"/>
        <w:rPr>
          <w:rFonts w:ascii="Arial" w:eastAsia="宋体" w:hAnsi="Arial" w:cs="Arial"/>
          <w:color w:val="454545"/>
          <w:kern w:val="0"/>
          <w:sz w:val="18"/>
          <w:szCs w:val="18"/>
        </w:rPr>
      </w:pPr>
      <w:r w:rsidRPr="00F72D9D">
        <w:rPr>
          <w:rFonts w:ascii="Arial" w:eastAsia="宋体" w:hAnsi="Arial" w:cs="Arial"/>
          <w:color w:val="454545"/>
          <w:kern w:val="0"/>
          <w:sz w:val="20"/>
          <w:szCs w:val="20"/>
        </w:rPr>
        <w:t>附件</w:t>
      </w:r>
    </w:p>
    <w:p w:rsidR="00F72D9D" w:rsidRPr="00F72D9D" w:rsidRDefault="00F72D9D" w:rsidP="00F72D9D">
      <w:pPr>
        <w:widowControl/>
        <w:spacing w:before="100" w:beforeAutospacing="1" w:after="100" w:afterAutospacing="1" w:line="379" w:lineRule="auto"/>
        <w:jc w:val="center"/>
        <w:rPr>
          <w:rFonts w:ascii="Arial" w:eastAsia="宋体" w:hAnsi="Arial" w:cs="Arial"/>
          <w:color w:val="0000FF"/>
          <w:kern w:val="0"/>
          <w:sz w:val="20"/>
          <w:szCs w:val="20"/>
        </w:rPr>
      </w:pPr>
      <w:r w:rsidRPr="00F72D9D">
        <w:rPr>
          <w:rFonts w:ascii="Arial" w:eastAsia="宋体" w:hAnsi="Arial" w:cs="Arial"/>
          <w:color w:val="0000FF"/>
          <w:kern w:val="0"/>
          <w:sz w:val="20"/>
          <w:szCs w:val="20"/>
        </w:rPr>
        <w:t>国家批准的集成电路重大项目企业名单</w:t>
      </w:r>
    </w:p>
    <w:tbl>
      <w:tblPr>
        <w:tblW w:w="9090" w:type="dxa"/>
        <w:jc w:val="center"/>
        <w:tblLook w:val="04A0" w:firstRow="1" w:lastRow="0" w:firstColumn="1" w:lastColumn="0" w:noHBand="0" w:noVBand="1"/>
      </w:tblPr>
      <w:tblGrid>
        <w:gridCol w:w="822"/>
        <w:gridCol w:w="4392"/>
        <w:gridCol w:w="3876"/>
      </w:tblGrid>
      <w:tr w:rsidR="00F72D9D" w:rsidRPr="00F72D9D">
        <w:trPr>
          <w:trHeight w:val="67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序号</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项目企业</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所在省市和区县</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中芯国际</w:t>
            </w:r>
            <w:proofErr w:type="gramEnd"/>
            <w:r w:rsidRPr="00F72D9D">
              <w:rPr>
                <w:rFonts w:ascii="Times New Roman" w:eastAsia="宋体" w:hAnsi="Times New Roman" w:cs="宋体" w:hint="eastAsia"/>
                <w:color w:val="454545"/>
                <w:kern w:val="0"/>
                <w:sz w:val="18"/>
                <w:szCs w:val="18"/>
              </w:rPr>
              <w:t>集成电路制造（北京）有限公司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北京亦庄经济技术开发区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北京</w:t>
            </w:r>
            <w:proofErr w:type="gramStart"/>
            <w:r w:rsidRPr="00F72D9D">
              <w:rPr>
                <w:rFonts w:ascii="Times New Roman" w:eastAsia="宋体" w:hAnsi="Times New Roman" w:cs="宋体" w:hint="eastAsia"/>
                <w:color w:val="454545"/>
                <w:kern w:val="0"/>
                <w:sz w:val="18"/>
                <w:szCs w:val="18"/>
              </w:rPr>
              <w:t>京</w:t>
            </w:r>
            <w:proofErr w:type="gramEnd"/>
            <w:r w:rsidRPr="00F72D9D">
              <w:rPr>
                <w:rFonts w:ascii="Times New Roman" w:eastAsia="宋体" w:hAnsi="Times New Roman" w:cs="宋体" w:hint="eastAsia"/>
                <w:color w:val="454545"/>
                <w:kern w:val="0"/>
                <w:sz w:val="18"/>
                <w:szCs w:val="18"/>
              </w:rPr>
              <w:t>东方显示技术有限公司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北京市经济技术开发区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3</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中芯国际</w:t>
            </w:r>
            <w:proofErr w:type="gramEnd"/>
            <w:r w:rsidRPr="00F72D9D">
              <w:rPr>
                <w:rFonts w:ascii="Times New Roman" w:eastAsia="宋体" w:hAnsi="Times New Roman" w:cs="宋体" w:hint="eastAsia"/>
                <w:color w:val="454545"/>
                <w:kern w:val="0"/>
                <w:sz w:val="18"/>
                <w:szCs w:val="18"/>
              </w:rPr>
              <w:t>集成电路制造（天津）有限公司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天津西青经济开发区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4</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飞思卡尔半导体（中国）有限公司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天津经济技术开发区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5</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鄂尔多斯市源盛光电有限责任公司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内蒙古自治区鄂尔多斯市东胜区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6</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英特尔半导体（大连）有限公司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大连经济技术开发区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7</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上海华虹</w:t>
            </w:r>
            <w:r w:rsidRPr="00F72D9D">
              <w:rPr>
                <w:rFonts w:ascii="Times New Roman" w:eastAsia="宋体" w:hAnsi="Times New Roman" w:cs="Times New Roman"/>
                <w:color w:val="454545"/>
                <w:kern w:val="0"/>
                <w:sz w:val="18"/>
                <w:szCs w:val="18"/>
              </w:rPr>
              <w:t>NEC</w:t>
            </w:r>
            <w:r w:rsidRPr="00F72D9D">
              <w:rPr>
                <w:rFonts w:ascii="Times New Roman" w:eastAsia="宋体" w:hAnsi="Times New Roman" w:cs="宋体" w:hint="eastAsia"/>
                <w:color w:val="454545"/>
                <w:kern w:val="0"/>
                <w:sz w:val="18"/>
                <w:szCs w:val="18"/>
              </w:rPr>
              <w:t>电子有限公司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上海市浦东新区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8</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上海华力微电子有限公司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上海市浦东新区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9</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上海集成电路研发中心有限公司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上海市浦东新区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10</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上海先进半导体制造股份有限公司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上海市徐汇区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11</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台积电（中国）有限公司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上海市松江区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lastRenderedPageBreak/>
              <w:t>12</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中芯国际</w:t>
            </w:r>
            <w:proofErr w:type="gramEnd"/>
            <w:r w:rsidRPr="00F72D9D">
              <w:rPr>
                <w:rFonts w:ascii="Times New Roman" w:eastAsia="宋体" w:hAnsi="Times New Roman" w:cs="宋体" w:hint="eastAsia"/>
                <w:color w:val="454545"/>
                <w:kern w:val="0"/>
                <w:sz w:val="18"/>
                <w:szCs w:val="18"/>
              </w:rPr>
              <w:t>集成电路制造（上海）有限公司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上海市浦东新区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13</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上海宏力半导体制造有限公司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上海市浦东新区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14</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日月光集成电路制造（中国）有限公司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上海市浦东新区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15</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南京中电熊猫液晶显示科技有限公司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江苏省南京市栖霞区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16</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和舰科技</w:t>
            </w:r>
            <w:proofErr w:type="gramEnd"/>
            <w:r w:rsidRPr="00F72D9D">
              <w:rPr>
                <w:rFonts w:ascii="Times New Roman" w:eastAsia="宋体" w:hAnsi="Times New Roman" w:cs="宋体" w:hint="eastAsia"/>
                <w:color w:val="454545"/>
                <w:kern w:val="0"/>
                <w:sz w:val="18"/>
                <w:szCs w:val="18"/>
              </w:rPr>
              <w:t>（苏州）有限公司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江苏省苏州工业园</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17</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无锡</w:t>
            </w:r>
            <w:proofErr w:type="gramStart"/>
            <w:r w:rsidRPr="00F72D9D">
              <w:rPr>
                <w:rFonts w:ascii="Times New Roman" w:eastAsia="宋体" w:hAnsi="Times New Roman" w:cs="宋体" w:hint="eastAsia"/>
                <w:color w:val="454545"/>
                <w:kern w:val="0"/>
                <w:sz w:val="18"/>
                <w:szCs w:val="18"/>
              </w:rPr>
              <w:t>华润上华</w:t>
            </w:r>
            <w:proofErr w:type="gramEnd"/>
            <w:r w:rsidRPr="00F72D9D">
              <w:rPr>
                <w:rFonts w:ascii="Times New Roman" w:eastAsia="宋体" w:hAnsi="Times New Roman" w:cs="宋体" w:hint="eastAsia"/>
                <w:color w:val="454545"/>
                <w:kern w:val="0"/>
                <w:sz w:val="18"/>
                <w:szCs w:val="18"/>
              </w:rPr>
              <w:t>科技有限公司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江苏省无锡国家高新技术产业开发区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18</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海力士半导体（中国）有限公司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江苏省无锡市出口加工区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19</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友达光电</w:t>
            </w:r>
            <w:proofErr w:type="gramEnd"/>
            <w:r w:rsidRPr="00F72D9D">
              <w:rPr>
                <w:rFonts w:ascii="Times New Roman" w:eastAsia="宋体" w:hAnsi="Times New Roman" w:cs="宋体" w:hint="eastAsia"/>
                <w:color w:val="454545"/>
                <w:kern w:val="0"/>
                <w:sz w:val="18"/>
                <w:szCs w:val="18"/>
              </w:rPr>
              <w:t>（昆山）有限公司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江苏省昆山经济技术开发区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20</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苏州三星电子液晶显示科技有限公司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江苏省苏州工业园区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21</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智瑞达科技（苏州）有限公司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江苏省苏州工业园区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22</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苏州日月新半导体有限公司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江苏省苏州工业园区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23</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合肥鑫晟光电科技有限公司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安徽省合肥市新站综合开发试验区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24</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合肥京东方光电科技有限公司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安徽省合肥市新站综合开发试验区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25</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厦门天马微电子有限公司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厦门火炬高新区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26</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武汉新芯集成电路制造有限公司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湖北省武汉市武汉东湖新技术开发区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27</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乐金显示</w:t>
            </w:r>
            <w:proofErr w:type="gramEnd"/>
            <w:r w:rsidRPr="00F72D9D">
              <w:rPr>
                <w:rFonts w:ascii="Times New Roman" w:eastAsia="宋体" w:hAnsi="Times New Roman" w:cs="宋体" w:hint="eastAsia"/>
                <w:color w:val="454545"/>
                <w:kern w:val="0"/>
                <w:sz w:val="18"/>
                <w:szCs w:val="18"/>
              </w:rPr>
              <w:t>（中国）有限公司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广东省广州高新技术产业开发区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28</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深圳市华</w:t>
            </w:r>
            <w:proofErr w:type="gramStart"/>
            <w:r w:rsidRPr="00F72D9D">
              <w:rPr>
                <w:rFonts w:ascii="Times New Roman" w:eastAsia="宋体" w:hAnsi="Times New Roman" w:cs="宋体" w:hint="eastAsia"/>
                <w:color w:val="454545"/>
                <w:kern w:val="0"/>
                <w:sz w:val="18"/>
                <w:szCs w:val="18"/>
              </w:rPr>
              <w:t>星光电</w:t>
            </w:r>
            <w:proofErr w:type="gramEnd"/>
            <w:r w:rsidRPr="00F72D9D">
              <w:rPr>
                <w:rFonts w:ascii="Times New Roman" w:eastAsia="宋体" w:hAnsi="Times New Roman" w:cs="宋体" w:hint="eastAsia"/>
                <w:color w:val="454545"/>
                <w:kern w:val="0"/>
                <w:sz w:val="18"/>
                <w:szCs w:val="18"/>
              </w:rPr>
              <w:t>技术有限公司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深圳市光明新区</w:t>
            </w:r>
          </w:p>
        </w:tc>
      </w:tr>
      <w:tr w:rsidR="00F72D9D" w:rsidRPr="00F72D9D">
        <w:trPr>
          <w:trHeight w:val="405"/>
          <w:jc w:val="center"/>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Times New Roman"/>
                <w:color w:val="454545"/>
                <w:kern w:val="0"/>
                <w:sz w:val="18"/>
                <w:szCs w:val="18"/>
              </w:rPr>
              <w:t>29</w:t>
            </w:r>
          </w:p>
        </w:tc>
        <w:tc>
          <w:tcPr>
            <w:tcW w:w="2416"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proofErr w:type="gramStart"/>
            <w:r w:rsidRPr="00F72D9D">
              <w:rPr>
                <w:rFonts w:ascii="Times New Roman" w:eastAsia="宋体" w:hAnsi="Times New Roman" w:cs="宋体" w:hint="eastAsia"/>
                <w:color w:val="454545"/>
                <w:kern w:val="0"/>
                <w:sz w:val="18"/>
                <w:szCs w:val="18"/>
              </w:rPr>
              <w:t>渝德科技</w:t>
            </w:r>
            <w:proofErr w:type="gramEnd"/>
            <w:r w:rsidRPr="00F72D9D">
              <w:rPr>
                <w:rFonts w:ascii="Times New Roman" w:eastAsia="宋体" w:hAnsi="Times New Roman" w:cs="宋体" w:hint="eastAsia"/>
                <w:color w:val="454545"/>
                <w:kern w:val="0"/>
                <w:sz w:val="18"/>
                <w:szCs w:val="18"/>
              </w:rPr>
              <w:t>（重庆）有限公司</w:t>
            </w:r>
          </w:p>
        </w:tc>
        <w:tc>
          <w:tcPr>
            <w:tcW w:w="2132" w:type="pct"/>
            <w:tcBorders>
              <w:top w:val="nil"/>
              <w:left w:val="nil"/>
              <w:bottom w:val="single" w:sz="4" w:space="0" w:color="auto"/>
              <w:right w:val="single" w:sz="4" w:space="0" w:color="auto"/>
            </w:tcBorders>
            <w:shd w:val="clear" w:color="auto" w:fill="auto"/>
            <w:noWrap/>
            <w:vAlign w:val="center"/>
            <w:hideMark/>
          </w:tcPr>
          <w:p w:rsidR="00F72D9D" w:rsidRPr="00F72D9D" w:rsidRDefault="00F72D9D" w:rsidP="00F72D9D">
            <w:pPr>
              <w:widowControl/>
              <w:spacing w:line="379" w:lineRule="auto"/>
              <w:jc w:val="left"/>
              <w:rPr>
                <w:rFonts w:ascii="宋体" w:eastAsia="宋体" w:hAnsi="宋体" w:cs="宋体"/>
                <w:color w:val="454545"/>
                <w:kern w:val="0"/>
                <w:sz w:val="24"/>
                <w:szCs w:val="24"/>
              </w:rPr>
            </w:pPr>
            <w:r w:rsidRPr="00F72D9D">
              <w:rPr>
                <w:rFonts w:ascii="Times New Roman" w:eastAsia="宋体" w:hAnsi="Times New Roman" w:cs="宋体" w:hint="eastAsia"/>
                <w:color w:val="454545"/>
                <w:kern w:val="0"/>
                <w:sz w:val="18"/>
                <w:szCs w:val="18"/>
              </w:rPr>
              <w:t>重庆市沙坪坝区</w:t>
            </w:r>
          </w:p>
        </w:tc>
      </w:tr>
    </w:tbl>
    <w:p w:rsidR="00C92E17" w:rsidRDefault="00C92E17"/>
    <w:sectPr w:rsidR="00C92E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57" w:rsidRDefault="002B4557" w:rsidP="00F72D9D">
      <w:r>
        <w:separator/>
      </w:r>
    </w:p>
  </w:endnote>
  <w:endnote w:type="continuationSeparator" w:id="0">
    <w:p w:rsidR="002B4557" w:rsidRDefault="002B4557" w:rsidP="00F72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57" w:rsidRDefault="002B4557" w:rsidP="00F72D9D">
      <w:r>
        <w:separator/>
      </w:r>
    </w:p>
  </w:footnote>
  <w:footnote w:type="continuationSeparator" w:id="0">
    <w:p w:rsidR="002B4557" w:rsidRDefault="002B4557" w:rsidP="00F72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3D"/>
    <w:rsid w:val="002B4557"/>
    <w:rsid w:val="00C0433D"/>
    <w:rsid w:val="00C92E17"/>
    <w:rsid w:val="00F7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D9D"/>
    <w:rPr>
      <w:sz w:val="18"/>
      <w:szCs w:val="18"/>
    </w:rPr>
  </w:style>
  <w:style w:type="paragraph" w:styleId="a4">
    <w:name w:val="footer"/>
    <w:basedOn w:val="a"/>
    <w:link w:val="Char0"/>
    <w:uiPriority w:val="99"/>
    <w:unhideWhenUsed/>
    <w:rsid w:val="00F72D9D"/>
    <w:pPr>
      <w:tabs>
        <w:tab w:val="center" w:pos="4153"/>
        <w:tab w:val="right" w:pos="8306"/>
      </w:tabs>
      <w:snapToGrid w:val="0"/>
      <w:jc w:val="left"/>
    </w:pPr>
    <w:rPr>
      <w:sz w:val="18"/>
      <w:szCs w:val="18"/>
    </w:rPr>
  </w:style>
  <w:style w:type="character" w:customStyle="1" w:styleId="Char0">
    <w:name w:val="页脚 Char"/>
    <w:basedOn w:val="a0"/>
    <w:link w:val="a4"/>
    <w:uiPriority w:val="99"/>
    <w:rsid w:val="00F72D9D"/>
    <w:rPr>
      <w:sz w:val="18"/>
      <w:szCs w:val="18"/>
    </w:rPr>
  </w:style>
  <w:style w:type="paragraph" w:styleId="a5">
    <w:name w:val="Normal (Web)"/>
    <w:basedOn w:val="a"/>
    <w:uiPriority w:val="99"/>
    <w:semiHidden/>
    <w:unhideWhenUsed/>
    <w:rsid w:val="00F72D9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2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D9D"/>
    <w:rPr>
      <w:sz w:val="18"/>
      <w:szCs w:val="18"/>
    </w:rPr>
  </w:style>
  <w:style w:type="paragraph" w:styleId="a4">
    <w:name w:val="footer"/>
    <w:basedOn w:val="a"/>
    <w:link w:val="Char0"/>
    <w:uiPriority w:val="99"/>
    <w:unhideWhenUsed/>
    <w:rsid w:val="00F72D9D"/>
    <w:pPr>
      <w:tabs>
        <w:tab w:val="center" w:pos="4153"/>
        <w:tab w:val="right" w:pos="8306"/>
      </w:tabs>
      <w:snapToGrid w:val="0"/>
      <w:jc w:val="left"/>
    </w:pPr>
    <w:rPr>
      <w:sz w:val="18"/>
      <w:szCs w:val="18"/>
    </w:rPr>
  </w:style>
  <w:style w:type="character" w:customStyle="1" w:styleId="Char0">
    <w:name w:val="页脚 Char"/>
    <w:basedOn w:val="a0"/>
    <w:link w:val="a4"/>
    <w:uiPriority w:val="99"/>
    <w:rsid w:val="00F72D9D"/>
    <w:rPr>
      <w:sz w:val="18"/>
      <w:szCs w:val="18"/>
    </w:rPr>
  </w:style>
  <w:style w:type="paragraph" w:styleId="a5">
    <w:name w:val="Normal (Web)"/>
    <w:basedOn w:val="a"/>
    <w:uiPriority w:val="99"/>
    <w:semiHidden/>
    <w:unhideWhenUsed/>
    <w:rsid w:val="00F72D9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3301">
      <w:bodyDiv w:val="1"/>
      <w:marLeft w:val="0"/>
      <w:marRight w:val="0"/>
      <w:marTop w:val="0"/>
      <w:marBottom w:val="0"/>
      <w:divBdr>
        <w:top w:val="none" w:sz="0" w:space="0" w:color="auto"/>
        <w:left w:val="none" w:sz="0" w:space="0" w:color="auto"/>
        <w:bottom w:val="none" w:sz="0" w:space="0" w:color="auto"/>
        <w:right w:val="none" w:sz="0" w:space="0" w:color="auto"/>
      </w:divBdr>
      <w:divsChild>
        <w:div w:id="1038048334">
          <w:marLeft w:val="0"/>
          <w:marRight w:val="0"/>
          <w:marTop w:val="0"/>
          <w:marBottom w:val="0"/>
          <w:divBdr>
            <w:top w:val="none" w:sz="0" w:space="0" w:color="auto"/>
            <w:left w:val="none" w:sz="0" w:space="0" w:color="auto"/>
            <w:bottom w:val="none" w:sz="0" w:space="0" w:color="auto"/>
            <w:right w:val="none" w:sz="0" w:space="0" w:color="auto"/>
          </w:divBdr>
          <w:divsChild>
            <w:div w:id="214124476">
              <w:marLeft w:val="0"/>
              <w:marRight w:val="0"/>
              <w:marTop w:val="0"/>
              <w:marBottom w:val="0"/>
              <w:divBdr>
                <w:top w:val="none" w:sz="0" w:space="0" w:color="auto"/>
                <w:left w:val="none" w:sz="0" w:space="0" w:color="auto"/>
                <w:bottom w:val="none" w:sz="0" w:space="0" w:color="auto"/>
                <w:right w:val="none" w:sz="0" w:space="0" w:color="auto"/>
              </w:divBdr>
              <w:divsChild>
                <w:div w:id="8825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1648</Characters>
  <Application>Microsoft Office Word</Application>
  <DocSecurity>0</DocSecurity>
  <Lines>13</Lines>
  <Paragraphs>3</Paragraphs>
  <ScaleCrop>false</ScaleCrop>
  <Company>微软中国</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2013-07-26T03:07:00Z</dcterms:created>
  <dcterms:modified xsi:type="dcterms:W3CDTF">2013-07-26T03:07:00Z</dcterms:modified>
</cp:coreProperties>
</file>