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E2" w:rsidRPr="001852E2" w:rsidRDefault="001852E2" w:rsidP="001852E2">
      <w:pPr>
        <w:widowControl/>
        <w:jc w:val="center"/>
        <w:rPr>
          <w:rFonts w:ascii="宋体" w:eastAsia="宋体" w:hAnsi="宋体" w:cs="宋体"/>
          <w:vanish/>
          <w:color w:val="000000"/>
          <w:kern w:val="0"/>
          <w:sz w:val="24"/>
          <w:szCs w:val="24"/>
        </w:rPr>
      </w:pPr>
    </w:p>
    <w:tbl>
      <w:tblPr>
        <w:tblW w:w="1200" w:type="dxa"/>
        <w:jc w:val="center"/>
        <w:tblCellSpacing w:w="0" w:type="dxa"/>
        <w:tblCellMar>
          <w:left w:w="0" w:type="dxa"/>
          <w:right w:w="0" w:type="dxa"/>
        </w:tblCellMar>
        <w:tblLook w:val="04A0" w:firstRow="1" w:lastRow="0" w:firstColumn="1" w:lastColumn="0" w:noHBand="0" w:noVBand="1"/>
      </w:tblPr>
      <w:tblGrid>
        <w:gridCol w:w="1200"/>
      </w:tblGrid>
      <w:tr w:rsidR="001852E2" w:rsidRPr="001852E2">
        <w:trPr>
          <w:tblCellSpacing w:w="0" w:type="dxa"/>
          <w:jc w:val="center"/>
        </w:trPr>
        <w:tc>
          <w:tcPr>
            <w:tcW w:w="0" w:type="auto"/>
            <w:vAlign w:val="center"/>
            <w:hideMark/>
          </w:tcPr>
          <w:p w:rsidR="001852E2" w:rsidRPr="001852E2" w:rsidRDefault="001852E2" w:rsidP="001852E2">
            <w:pPr>
              <w:widowControl/>
              <w:jc w:val="left"/>
              <w:rPr>
                <w:rFonts w:ascii="宋体" w:eastAsia="宋体" w:hAnsi="宋体" w:cs="宋体"/>
                <w:color w:val="000000"/>
                <w:kern w:val="0"/>
                <w:sz w:val="24"/>
                <w:szCs w:val="24"/>
              </w:rPr>
            </w:pPr>
          </w:p>
        </w:tc>
      </w:tr>
    </w:tbl>
    <w:p w:rsidR="001852E2" w:rsidRPr="001852E2" w:rsidRDefault="001852E2" w:rsidP="001852E2">
      <w:pPr>
        <w:widowControl/>
        <w:jc w:val="center"/>
        <w:rPr>
          <w:rFonts w:ascii="宋体" w:eastAsia="宋体" w:hAnsi="宋体" w:cs="宋体"/>
          <w:vanish/>
          <w:color w:val="000000"/>
          <w:kern w:val="0"/>
          <w:sz w:val="24"/>
          <w:szCs w:val="24"/>
        </w:rPr>
      </w:pPr>
    </w:p>
    <w:p w:rsidR="001852E2" w:rsidRPr="001852E2" w:rsidRDefault="001852E2" w:rsidP="001852E2">
      <w:pPr>
        <w:widowControl/>
        <w:jc w:val="center"/>
        <w:rPr>
          <w:rFonts w:ascii="宋体" w:eastAsia="宋体" w:hAnsi="宋体" w:cs="宋体"/>
          <w:vanish/>
          <w:color w:val="000000"/>
          <w:kern w:val="0"/>
          <w:sz w:val="24"/>
          <w:szCs w:val="24"/>
        </w:rPr>
      </w:pPr>
    </w:p>
    <w:tbl>
      <w:tblPr>
        <w:tblW w:w="1200" w:type="dxa"/>
        <w:jc w:val="center"/>
        <w:tblCellSpacing w:w="0" w:type="dxa"/>
        <w:tblCellMar>
          <w:left w:w="0" w:type="dxa"/>
          <w:right w:w="0" w:type="dxa"/>
        </w:tblCellMar>
        <w:tblLook w:val="04A0" w:firstRow="1" w:lastRow="0" w:firstColumn="1" w:lastColumn="0" w:noHBand="0" w:noVBand="1"/>
      </w:tblPr>
      <w:tblGrid>
        <w:gridCol w:w="1200"/>
      </w:tblGrid>
      <w:tr w:rsidR="001852E2" w:rsidRPr="001852E2">
        <w:trPr>
          <w:tblCellSpacing w:w="0" w:type="dxa"/>
          <w:jc w:val="center"/>
        </w:trPr>
        <w:tc>
          <w:tcPr>
            <w:tcW w:w="0" w:type="auto"/>
            <w:vAlign w:val="center"/>
            <w:hideMark/>
          </w:tcPr>
          <w:p w:rsidR="001852E2" w:rsidRPr="001852E2" w:rsidRDefault="001852E2" w:rsidP="001852E2">
            <w:pPr>
              <w:widowControl/>
              <w:jc w:val="left"/>
              <w:rPr>
                <w:rFonts w:ascii="宋体" w:eastAsia="宋体" w:hAnsi="宋体" w:cs="宋体"/>
                <w:color w:val="000000"/>
                <w:kern w:val="0"/>
                <w:sz w:val="24"/>
                <w:szCs w:val="24"/>
              </w:rPr>
            </w:pPr>
          </w:p>
        </w:tc>
      </w:tr>
    </w:tbl>
    <w:p w:rsidR="001852E2" w:rsidRPr="001852E2" w:rsidRDefault="001852E2" w:rsidP="001852E2">
      <w:pPr>
        <w:widowControl/>
        <w:jc w:val="center"/>
        <w:rPr>
          <w:rFonts w:ascii="宋体" w:eastAsia="宋体" w:hAnsi="宋体" w:cs="宋体"/>
          <w:vanish/>
          <w:color w:val="000000"/>
          <w:kern w:val="0"/>
          <w:sz w:val="24"/>
          <w:szCs w:val="24"/>
        </w:rPr>
      </w:pPr>
    </w:p>
    <w:p w:rsidR="001852E2" w:rsidRPr="001852E2" w:rsidRDefault="001852E2" w:rsidP="001852E2">
      <w:pPr>
        <w:widowControl/>
        <w:jc w:val="center"/>
        <w:rPr>
          <w:rFonts w:ascii="宋体" w:eastAsia="宋体" w:hAnsi="宋体" w:cs="宋体"/>
          <w:vanish/>
          <w:color w:val="000000"/>
          <w:kern w:val="0"/>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36"/>
      </w:tblGrid>
      <w:tr w:rsidR="001852E2" w:rsidRPr="001852E2">
        <w:trPr>
          <w:tblCellSpacing w:w="0" w:type="dxa"/>
          <w:jc w:val="center"/>
          <w:hidden/>
        </w:trPr>
        <w:tc>
          <w:tcPr>
            <w:tcW w:w="0" w:type="auto"/>
            <w:hideMark/>
          </w:tcPr>
          <w:p w:rsidR="001852E2" w:rsidRPr="001852E2" w:rsidRDefault="001852E2" w:rsidP="001852E2">
            <w:pPr>
              <w:widowControl/>
              <w:jc w:val="center"/>
              <w:rPr>
                <w:rFonts w:ascii="宋体" w:eastAsia="宋体" w:hAnsi="宋体" w:cs="宋体"/>
                <w:vanish/>
                <w:color w:val="000000"/>
                <w:kern w:val="0"/>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1852E2" w:rsidRPr="001852E2">
              <w:trPr>
                <w:tblCellSpacing w:w="0" w:type="dxa"/>
                <w:jc w:val="center"/>
              </w:trPr>
              <w:tc>
                <w:tcPr>
                  <w:tcW w:w="0" w:type="auto"/>
                  <w:vAlign w:val="center"/>
                  <w:hideMark/>
                </w:tcPr>
                <w:p w:rsidR="001852E2" w:rsidRPr="001852E2" w:rsidRDefault="001852E2" w:rsidP="001852E2">
                  <w:pPr>
                    <w:widowControl/>
                    <w:spacing w:before="100" w:beforeAutospacing="1" w:after="100" w:afterAutospacing="1" w:line="432" w:lineRule="auto"/>
                    <w:jc w:val="left"/>
                    <w:rPr>
                      <w:rFonts w:ascii="宋体" w:eastAsia="宋体" w:hAnsi="宋体" w:cs="宋体"/>
                      <w:color w:val="000000"/>
                      <w:kern w:val="0"/>
                      <w:sz w:val="24"/>
                      <w:szCs w:val="24"/>
                    </w:rPr>
                  </w:pPr>
                </w:p>
              </w:tc>
            </w:tr>
          </w:tbl>
          <w:p w:rsidR="001852E2" w:rsidRPr="001852E2" w:rsidRDefault="001852E2" w:rsidP="001852E2">
            <w:pPr>
              <w:widowControl/>
              <w:jc w:val="center"/>
              <w:rPr>
                <w:rFonts w:ascii="宋体" w:eastAsia="宋体" w:hAnsi="宋体" w:cs="宋体"/>
                <w:color w:val="000000"/>
                <w:kern w:val="0"/>
                <w:sz w:val="24"/>
                <w:szCs w:val="24"/>
              </w:rPr>
            </w:pPr>
          </w:p>
        </w:tc>
      </w:tr>
    </w:tbl>
    <w:p w:rsidR="001852E2" w:rsidRDefault="001852E2">
      <w:pPr>
        <w:rPr>
          <w:rFonts w:hint="eastAsia"/>
        </w:rPr>
      </w:pPr>
      <w:r w:rsidRPr="001852E2">
        <w:rPr>
          <w:rFonts w:ascii="宋体" w:eastAsia="宋体" w:hAnsi="宋体" w:cs="宋体" w:hint="eastAsia"/>
          <w:b/>
          <w:bCs/>
          <w:color w:val="003CC8"/>
          <w:kern w:val="0"/>
          <w:sz w:val="36"/>
          <w:szCs w:val="36"/>
        </w:rPr>
        <w:t>中华人民共和国印花税暂行条例施行细则</w:t>
      </w:r>
    </w:p>
    <w:p w:rsidR="001852E2" w:rsidRDefault="001852E2">
      <w:pPr>
        <w:rPr>
          <w:rFonts w:hint="eastAsia"/>
        </w:rPr>
      </w:pPr>
      <w:r w:rsidRPr="001852E2">
        <w:rPr>
          <w:rFonts w:ascii="宋体" w:eastAsia="宋体" w:hAnsi="宋体" w:cs="宋体" w:hint="eastAsia"/>
          <w:color w:val="000000"/>
          <w:kern w:val="0"/>
          <w:sz w:val="18"/>
          <w:szCs w:val="18"/>
        </w:rPr>
        <w:t>中国政府门户网站　www.gov.cn　　 来源：全国人大法规库</w:t>
      </w:r>
    </w:p>
    <w:p w:rsidR="001852E2" w:rsidRPr="001852E2" w:rsidRDefault="001852E2" w:rsidP="001852E2">
      <w:pPr>
        <w:widowControl/>
        <w:spacing w:before="100" w:beforeAutospacing="1" w:after="100" w:afterAutospacing="1" w:line="432" w:lineRule="auto"/>
        <w:jc w:val="center"/>
        <w:rPr>
          <w:rFonts w:ascii="宋体" w:eastAsia="宋体" w:hAnsi="宋体" w:cs="宋体"/>
          <w:color w:val="000000"/>
          <w:kern w:val="0"/>
          <w:sz w:val="24"/>
          <w:szCs w:val="24"/>
        </w:rPr>
      </w:pPr>
      <w:r w:rsidRPr="001852E2">
        <w:rPr>
          <w:rFonts w:ascii="宋体" w:eastAsia="宋体" w:hAnsi="宋体" w:cs="宋体" w:hint="eastAsia"/>
          <w:color w:val="000000"/>
          <w:kern w:val="0"/>
          <w:sz w:val="24"/>
          <w:szCs w:val="24"/>
        </w:rPr>
        <w:t>[88]财税255</w:t>
      </w:r>
      <w:bookmarkStart w:id="0" w:name="_GoBack"/>
      <w:bookmarkEnd w:id="0"/>
      <w:r w:rsidRPr="001852E2">
        <w:rPr>
          <w:rFonts w:ascii="宋体" w:eastAsia="宋体" w:hAnsi="宋体" w:cs="宋体" w:hint="eastAsia"/>
          <w:color w:val="000000"/>
          <w:kern w:val="0"/>
          <w:sz w:val="24"/>
          <w:szCs w:val="24"/>
        </w:rPr>
        <w:t>号</w:t>
      </w:r>
    </w:p>
    <w:p w:rsidR="001852E2" w:rsidRPr="001852E2" w:rsidRDefault="001852E2" w:rsidP="001852E2">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颁布日期：19880929 　实施日期：19880929 　颁布单位：财政部</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第一条　本施行细则依据《中华人民共和国印花税暂行条例》（以下简称条例</w:t>
      </w:r>
      <w:proofErr w:type="gramStart"/>
      <w:r w:rsidRPr="001852E2">
        <w:rPr>
          <w:rFonts w:ascii="宋体" w:eastAsia="宋体" w:hAnsi="宋体" w:cs="宋体" w:hint="eastAsia"/>
          <w:color w:val="000000"/>
          <w:kern w:val="0"/>
          <w:sz w:val="24"/>
          <w:szCs w:val="24"/>
        </w:rPr>
        <w:t>》</w:t>
      </w:r>
      <w:proofErr w:type="gramEnd"/>
      <w:r w:rsidRPr="001852E2">
        <w:rPr>
          <w:rFonts w:ascii="宋体" w:eastAsia="宋体" w:hAnsi="宋体" w:cs="宋体" w:hint="eastAsia"/>
          <w:color w:val="000000"/>
          <w:kern w:val="0"/>
          <w:sz w:val="24"/>
          <w:szCs w:val="24"/>
        </w:rPr>
        <w:t>第十五条的规定制定。</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第二条　条例第一条所说的在中华人民共和国境内书立、领受本条例所列举凭证，是指在中国境内具有法律效力，受中国法律保护的凭证。</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上述凭证无论在中国境内或者境外书立，均应依照条例规定贴花。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条例第一条所说的单位和个人，是指国内各类企业、事业、机关、团体、部队以及中外合资企业、合作企业、外资企业、外国公司企业和其他经济组织及其在华机构等单位和个人。</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凡是缴纳工商统一税的中外合资企业、合作企业、外资企业、外国公司企业和其他经济组织，其缴纳的印花税，可以从所缴纳的工商统一税中如数抵扣。</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第三条　条例第二条所说的建设工程承包合同，是指建设工程和勘察设计合同和建筑安装工程承包合同。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建设工程承包合同包括总包合同、分包合同和转包合同。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第四条　条例第二条所说的合同，是指根据《中华人民共和国经济合同法》。《中华人民共和国涉外经济合同法》和其他有关合同法规订立的合同。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lastRenderedPageBreak/>
        <w:t xml:space="preserve">　　具有合同性质的凭证，是指具有合同效力的协议、契约、合约、单据、确认书及其他各种名称的凭证。</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第五条　条例第二条所说的产权转移书据，是指单位和个人产权的买卖、继承、赠与、交换、分割等所立的书据。</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第六条　条例第二条所说的营业帐薄，是指单位或者个人记载生产经营活动的财务会计核算帐薄。</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第七条　税目税率表中的记载资金的帐薄，是指载有固定资产原值和自有流动资金的总</w:t>
      </w:r>
      <w:proofErr w:type="gramStart"/>
      <w:r w:rsidRPr="001852E2">
        <w:rPr>
          <w:rFonts w:ascii="宋体" w:eastAsia="宋体" w:hAnsi="宋体" w:cs="宋体" w:hint="eastAsia"/>
          <w:color w:val="000000"/>
          <w:kern w:val="0"/>
          <w:sz w:val="24"/>
          <w:szCs w:val="24"/>
        </w:rPr>
        <w:t>分类帐</w:t>
      </w:r>
      <w:proofErr w:type="gramEnd"/>
      <w:r w:rsidRPr="001852E2">
        <w:rPr>
          <w:rFonts w:ascii="宋体" w:eastAsia="宋体" w:hAnsi="宋体" w:cs="宋体" w:hint="eastAsia"/>
          <w:color w:val="000000"/>
          <w:kern w:val="0"/>
          <w:sz w:val="24"/>
          <w:szCs w:val="24"/>
        </w:rPr>
        <w:t>薄，或者专门设置的记载固定资产原值和自有流动资金的帐薄。</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其他帐薄，是指除上述帐薄以外的帐薄，包括</w:t>
      </w:r>
      <w:proofErr w:type="gramStart"/>
      <w:r w:rsidRPr="001852E2">
        <w:rPr>
          <w:rFonts w:ascii="宋体" w:eastAsia="宋体" w:hAnsi="宋体" w:cs="宋体" w:hint="eastAsia"/>
          <w:color w:val="000000"/>
          <w:kern w:val="0"/>
          <w:sz w:val="24"/>
          <w:szCs w:val="24"/>
        </w:rPr>
        <w:t>日记帐</w:t>
      </w:r>
      <w:proofErr w:type="gramEnd"/>
      <w:r w:rsidRPr="001852E2">
        <w:rPr>
          <w:rFonts w:ascii="宋体" w:eastAsia="宋体" w:hAnsi="宋体" w:cs="宋体" w:hint="eastAsia"/>
          <w:color w:val="000000"/>
          <w:kern w:val="0"/>
          <w:sz w:val="24"/>
          <w:szCs w:val="24"/>
        </w:rPr>
        <w:t>薄和各明细</w:t>
      </w:r>
      <w:proofErr w:type="gramStart"/>
      <w:r w:rsidRPr="001852E2">
        <w:rPr>
          <w:rFonts w:ascii="宋体" w:eastAsia="宋体" w:hAnsi="宋体" w:cs="宋体" w:hint="eastAsia"/>
          <w:color w:val="000000"/>
          <w:kern w:val="0"/>
          <w:sz w:val="24"/>
          <w:szCs w:val="24"/>
        </w:rPr>
        <w:t>分类帐</w:t>
      </w:r>
      <w:proofErr w:type="gramEnd"/>
      <w:r w:rsidRPr="001852E2">
        <w:rPr>
          <w:rFonts w:ascii="宋体" w:eastAsia="宋体" w:hAnsi="宋体" w:cs="宋体" w:hint="eastAsia"/>
          <w:color w:val="000000"/>
          <w:kern w:val="0"/>
          <w:sz w:val="24"/>
          <w:szCs w:val="24"/>
        </w:rPr>
        <w:t>薄。</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第八条　记载资金的</w:t>
      </w:r>
      <w:proofErr w:type="gramStart"/>
      <w:r w:rsidRPr="001852E2">
        <w:rPr>
          <w:rFonts w:ascii="宋体" w:eastAsia="宋体" w:hAnsi="宋体" w:cs="宋体" w:hint="eastAsia"/>
          <w:color w:val="000000"/>
          <w:kern w:val="0"/>
          <w:sz w:val="24"/>
          <w:szCs w:val="24"/>
        </w:rPr>
        <w:t>帐薄按固定资产</w:t>
      </w:r>
      <w:proofErr w:type="gramEnd"/>
      <w:r w:rsidRPr="001852E2">
        <w:rPr>
          <w:rFonts w:ascii="宋体" w:eastAsia="宋体" w:hAnsi="宋体" w:cs="宋体" w:hint="eastAsia"/>
          <w:color w:val="000000"/>
          <w:kern w:val="0"/>
          <w:sz w:val="24"/>
          <w:szCs w:val="24"/>
        </w:rPr>
        <w:t>原值和自有流动资金总额贴花后，以后年度资金总额比已贴花资金总额增加的，增加部分应按规定贴花。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第九条　税目税率表中自有流动资金的确定，按有关财务会计制度的规定执行。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第十条　印花税只对税目税率表中列举的凭证和经财政部确定征税的其他凭证征税。</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第十一条　条例第四条所说的已缴纳印花税的凭证的副本或者抄本免纳印花税，是指凭证的正式签署本已按规定缴纳了印花税，其副本或者抄本对外不发生权利义务关系，</w:t>
      </w:r>
      <w:proofErr w:type="gramStart"/>
      <w:r w:rsidRPr="001852E2">
        <w:rPr>
          <w:rFonts w:ascii="宋体" w:eastAsia="宋体" w:hAnsi="宋体" w:cs="宋体" w:hint="eastAsia"/>
          <w:color w:val="000000"/>
          <w:kern w:val="0"/>
          <w:sz w:val="24"/>
          <w:szCs w:val="24"/>
        </w:rPr>
        <w:t>仅备存查</w:t>
      </w:r>
      <w:proofErr w:type="gramEnd"/>
      <w:r w:rsidRPr="001852E2">
        <w:rPr>
          <w:rFonts w:ascii="宋体" w:eastAsia="宋体" w:hAnsi="宋体" w:cs="宋体" w:hint="eastAsia"/>
          <w:color w:val="000000"/>
          <w:kern w:val="0"/>
          <w:sz w:val="24"/>
          <w:szCs w:val="24"/>
        </w:rPr>
        <w:t>的免贴印花。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以副本或者抄本视同正本使用的，应另贴印花。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lastRenderedPageBreak/>
        <w:t xml:space="preserve">　　第十二条　条例第四条所说的社会福利单位，是指抚养孤老伤残的社会福利单位。</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第十三条　根据条例第四条第（三）款规定，对下列凭证免纳印花税：</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（一）国家指定的收购部门与村民委员会、农民个人书立的农副产品收购合同；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（二）无息、贴息贷款合同；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（三）外国政府或者国际金融组织向我国政府及国家金融机构提供优惠贷款所书立的合同。</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第十四条　条例第七条所说的书</w:t>
      </w:r>
      <w:proofErr w:type="gramStart"/>
      <w:r w:rsidRPr="001852E2">
        <w:rPr>
          <w:rFonts w:ascii="宋体" w:eastAsia="宋体" w:hAnsi="宋体" w:cs="宋体" w:hint="eastAsia"/>
          <w:color w:val="000000"/>
          <w:kern w:val="0"/>
          <w:sz w:val="24"/>
          <w:szCs w:val="24"/>
        </w:rPr>
        <w:t>立或者</w:t>
      </w:r>
      <w:proofErr w:type="gramEnd"/>
      <w:r w:rsidRPr="001852E2">
        <w:rPr>
          <w:rFonts w:ascii="宋体" w:eastAsia="宋体" w:hAnsi="宋体" w:cs="宋体" w:hint="eastAsia"/>
          <w:color w:val="000000"/>
          <w:kern w:val="0"/>
          <w:sz w:val="24"/>
          <w:szCs w:val="24"/>
        </w:rPr>
        <w:t>领受时贴花，是指在合同的签订时、书据的立据时、帐薄的启用时和证照的领受时贴花。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如果合同在国外签订的，应在国内使用时贴花。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第十五条　条例第八条所说的当事人，是指对凭证有直接权利义务关系的单位和个人，不包括保人、证人、鉴定人。</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税目税率表中的立合同人，是指合同的当事人。</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当事人的代理人有代理纳税的义务。</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第十六条　产权转移书据由立据人贴花，如未贴或者少贴印花，书据的持有人应负责补贴印花。所立书据以合同方式签订的，应由持有书据的各方分别按全额贴花。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lastRenderedPageBreak/>
        <w:t xml:space="preserve">　　第十七条　同一凭证，因载有两个或者两个以上经济事项而适用不同税目税率，如分别记载金额的，应分别计算应纳税额，相加后按合计税额贴花；如未分别记载金额的，按税率高的计税贴花。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第十八条　按金额比例贴花的应税凭证，未标明金额的，应按照凭证所载数量及国家牌价计算金额；没有国家牌价的，按市场价格计算金额，然后按规定税率计算应纳税额。</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第十九条　应纳税凭证所载金额为外国货币的，纳税人应按照凭证书立当日的中华人民共和国国家外汇管理局公布的外汇牌价折合人民币，计算应纳税额。</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第二十条　应纳税凭证粘贴印花税票后应即注销。纳税人有印章的，加盖印章注销；纳税人没有印章的，可用钢笔（圆珠笔）画几条横线注销。注销标记应与骑缝处相交。骑缝处是指粘贴的印花税票与凭证及印花税票之间的交接处。</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第二十一条　一份凭证应纳税额超过５００元的，应向当地税务机关申请填写缴款书或者完税证，将其中</w:t>
      </w:r>
      <w:proofErr w:type="gramStart"/>
      <w:r w:rsidRPr="001852E2">
        <w:rPr>
          <w:rFonts w:ascii="宋体" w:eastAsia="宋体" w:hAnsi="宋体" w:cs="宋体" w:hint="eastAsia"/>
          <w:color w:val="000000"/>
          <w:kern w:val="0"/>
          <w:sz w:val="24"/>
          <w:szCs w:val="24"/>
        </w:rPr>
        <w:t>一</w:t>
      </w:r>
      <w:proofErr w:type="gramEnd"/>
      <w:r w:rsidRPr="001852E2">
        <w:rPr>
          <w:rFonts w:ascii="宋体" w:eastAsia="宋体" w:hAnsi="宋体" w:cs="宋体" w:hint="eastAsia"/>
          <w:color w:val="000000"/>
          <w:kern w:val="0"/>
          <w:sz w:val="24"/>
          <w:szCs w:val="24"/>
        </w:rPr>
        <w:t>联粘贴在凭证上或者由税务机关在凭证上加注完税标记代替贴花。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第二十二条　同一种类应纳税凭证，需频繁贴花的，应向当地税务机关申请按期汇总缴纳印花税。</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税务机关对核准汇总缴纳印花税的单位，应发给汇缴许可证。汇总缴纳的限期限额由当地税务机关确定，但最长期限不得超过１个月。</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第二十三条　凡汇总缴纳印花税的凭证，应加注税务机关指定的汇缴戳记，编号并装订成册后，将已贴印花或者缴款书的</w:t>
      </w:r>
      <w:proofErr w:type="gramStart"/>
      <w:r w:rsidRPr="001852E2">
        <w:rPr>
          <w:rFonts w:ascii="宋体" w:eastAsia="宋体" w:hAnsi="宋体" w:cs="宋体" w:hint="eastAsia"/>
          <w:color w:val="000000"/>
          <w:kern w:val="0"/>
          <w:sz w:val="24"/>
          <w:szCs w:val="24"/>
        </w:rPr>
        <w:t>一</w:t>
      </w:r>
      <w:proofErr w:type="gramEnd"/>
      <w:r w:rsidRPr="001852E2">
        <w:rPr>
          <w:rFonts w:ascii="宋体" w:eastAsia="宋体" w:hAnsi="宋体" w:cs="宋体" w:hint="eastAsia"/>
          <w:color w:val="000000"/>
          <w:kern w:val="0"/>
          <w:sz w:val="24"/>
          <w:szCs w:val="24"/>
        </w:rPr>
        <w:t>联粘附册后，盖章注销，保存备查。</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lastRenderedPageBreak/>
        <w:t xml:space="preserve">　　第二十四条　凡多贴印花税票者，不得申请退税或者抵用。</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第二十五条　纳税人对纳税凭证应妥善保存。凭证的保存期限，凡国家已有明确规定的，按规定办；其余凭证均应在履行完毕后保存１年。</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第二十六条　纳税人对凭证不能确定是否应当纳税的，应及时携带凭证，到当地税务机关鉴别。</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纳税人同税务机关对凭证的性质发生争议的，应</w:t>
      </w:r>
      <w:proofErr w:type="gramStart"/>
      <w:r w:rsidRPr="001852E2">
        <w:rPr>
          <w:rFonts w:ascii="宋体" w:eastAsia="宋体" w:hAnsi="宋体" w:cs="宋体" w:hint="eastAsia"/>
          <w:color w:val="000000"/>
          <w:kern w:val="0"/>
          <w:sz w:val="24"/>
          <w:szCs w:val="24"/>
        </w:rPr>
        <w:t>检附该凭证</w:t>
      </w:r>
      <w:proofErr w:type="gramEnd"/>
      <w:r w:rsidRPr="001852E2">
        <w:rPr>
          <w:rFonts w:ascii="宋体" w:eastAsia="宋体" w:hAnsi="宋体" w:cs="宋体" w:hint="eastAsia"/>
          <w:color w:val="000000"/>
          <w:kern w:val="0"/>
          <w:sz w:val="24"/>
          <w:szCs w:val="24"/>
        </w:rPr>
        <w:t>报请上一级税务机关核定。</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第二十七条　条例第十二条所说的发放或者办理应纳税凭证的单位，是指发放权力、许可证照的单位和办理凭证的</w:t>
      </w:r>
      <w:proofErr w:type="gramStart"/>
      <w:r w:rsidRPr="001852E2">
        <w:rPr>
          <w:rFonts w:ascii="宋体" w:eastAsia="宋体" w:hAnsi="宋体" w:cs="宋体" w:hint="eastAsia"/>
          <w:color w:val="000000"/>
          <w:kern w:val="0"/>
          <w:sz w:val="24"/>
          <w:szCs w:val="24"/>
        </w:rPr>
        <w:t>鉴证</w:t>
      </w:r>
      <w:proofErr w:type="gramEnd"/>
      <w:r w:rsidRPr="001852E2">
        <w:rPr>
          <w:rFonts w:ascii="宋体" w:eastAsia="宋体" w:hAnsi="宋体" w:cs="宋体" w:hint="eastAsia"/>
          <w:color w:val="000000"/>
          <w:kern w:val="0"/>
          <w:sz w:val="24"/>
          <w:szCs w:val="24"/>
        </w:rPr>
        <w:t>、公证及其他有关事项的单位。</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第二十八条　条例第十二条所说的负有监督纳税人依法纳税的义务，是指发放或者办理应纳税凭证的单位应对以下纳税事项监督：</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（一）应纳税凭证是否已粘贴印花；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（二）粘贴的印花是否足额；</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（三）粘贴的印花是否按规定注销。</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对未完成以上纳税手续的，应督促纳税人当场贴花。</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第二十九条　印花税票的票面金额以人民币为单位，分为１角、２角、５角、１元、２元、５元、１０元、５０元、１００元９种。</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第三十条　印花税票为有价证券，各地税务机关应按照国家税务局制定的管理办法严格管理，具体管理办法另定。</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lastRenderedPageBreak/>
        <w:t xml:space="preserve">　　第三十一条　印花税票可以委托单位或个人代售，并由税务机关付给代售金额５％的手续费。支付来源从实征印花税款中提取。</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第三十二条　凡代售印花税票者，应先向当地税务机关提出代售申请，必要时须提供保证人。税务机关调查核准后，应与</w:t>
      </w:r>
      <w:proofErr w:type="gramStart"/>
      <w:r w:rsidRPr="001852E2">
        <w:rPr>
          <w:rFonts w:ascii="宋体" w:eastAsia="宋体" w:hAnsi="宋体" w:cs="宋体" w:hint="eastAsia"/>
          <w:color w:val="000000"/>
          <w:kern w:val="0"/>
          <w:sz w:val="24"/>
          <w:szCs w:val="24"/>
        </w:rPr>
        <w:t>代售户</w:t>
      </w:r>
      <w:proofErr w:type="gramEnd"/>
      <w:r w:rsidRPr="001852E2">
        <w:rPr>
          <w:rFonts w:ascii="宋体" w:eastAsia="宋体" w:hAnsi="宋体" w:cs="宋体" w:hint="eastAsia"/>
          <w:color w:val="000000"/>
          <w:kern w:val="0"/>
          <w:sz w:val="24"/>
          <w:szCs w:val="24"/>
        </w:rPr>
        <w:t>签订代售合同，发给代售许可证。</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第三十三条　</w:t>
      </w:r>
      <w:proofErr w:type="gramStart"/>
      <w:r w:rsidRPr="001852E2">
        <w:rPr>
          <w:rFonts w:ascii="宋体" w:eastAsia="宋体" w:hAnsi="宋体" w:cs="宋体" w:hint="eastAsia"/>
          <w:color w:val="000000"/>
          <w:kern w:val="0"/>
          <w:sz w:val="24"/>
          <w:szCs w:val="24"/>
        </w:rPr>
        <w:t>代售户</w:t>
      </w:r>
      <w:proofErr w:type="gramEnd"/>
      <w:r w:rsidRPr="001852E2">
        <w:rPr>
          <w:rFonts w:ascii="宋体" w:eastAsia="宋体" w:hAnsi="宋体" w:cs="宋体" w:hint="eastAsia"/>
          <w:color w:val="000000"/>
          <w:kern w:val="0"/>
          <w:sz w:val="24"/>
          <w:szCs w:val="24"/>
        </w:rPr>
        <w:t>所售印花税票取得的税款，</w:t>
      </w:r>
      <w:proofErr w:type="gramStart"/>
      <w:r w:rsidRPr="001852E2">
        <w:rPr>
          <w:rFonts w:ascii="宋体" w:eastAsia="宋体" w:hAnsi="宋体" w:cs="宋体" w:hint="eastAsia"/>
          <w:color w:val="000000"/>
          <w:kern w:val="0"/>
          <w:sz w:val="24"/>
          <w:szCs w:val="24"/>
        </w:rPr>
        <w:t>须专户</w:t>
      </w:r>
      <w:proofErr w:type="gramEnd"/>
      <w:r w:rsidRPr="001852E2">
        <w:rPr>
          <w:rFonts w:ascii="宋体" w:eastAsia="宋体" w:hAnsi="宋体" w:cs="宋体" w:hint="eastAsia"/>
          <w:color w:val="000000"/>
          <w:kern w:val="0"/>
          <w:sz w:val="24"/>
          <w:szCs w:val="24"/>
        </w:rPr>
        <w:t>存储，并按照规定的期限，向当地税务机关结报，或者填开专用缴款书直接向银行缴纳。不得逾期不缴或者挪作他用。</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第三十四条　</w:t>
      </w:r>
      <w:proofErr w:type="gramStart"/>
      <w:r w:rsidRPr="001852E2">
        <w:rPr>
          <w:rFonts w:ascii="宋体" w:eastAsia="宋体" w:hAnsi="宋体" w:cs="宋体" w:hint="eastAsia"/>
          <w:color w:val="000000"/>
          <w:kern w:val="0"/>
          <w:sz w:val="24"/>
          <w:szCs w:val="24"/>
        </w:rPr>
        <w:t>代售户领存</w:t>
      </w:r>
      <w:proofErr w:type="gramEnd"/>
      <w:r w:rsidRPr="001852E2">
        <w:rPr>
          <w:rFonts w:ascii="宋体" w:eastAsia="宋体" w:hAnsi="宋体" w:cs="宋体" w:hint="eastAsia"/>
          <w:color w:val="000000"/>
          <w:kern w:val="0"/>
          <w:sz w:val="24"/>
          <w:szCs w:val="24"/>
        </w:rPr>
        <w:t>的印花税票及所售印花税票的税款，如有损失，应负责赔偿。</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第三十五条　</w:t>
      </w:r>
      <w:proofErr w:type="gramStart"/>
      <w:r w:rsidRPr="001852E2">
        <w:rPr>
          <w:rFonts w:ascii="宋体" w:eastAsia="宋体" w:hAnsi="宋体" w:cs="宋体" w:hint="eastAsia"/>
          <w:color w:val="000000"/>
          <w:kern w:val="0"/>
          <w:sz w:val="24"/>
          <w:szCs w:val="24"/>
        </w:rPr>
        <w:t>代售户</w:t>
      </w:r>
      <w:proofErr w:type="gramEnd"/>
      <w:r w:rsidRPr="001852E2">
        <w:rPr>
          <w:rFonts w:ascii="宋体" w:eastAsia="宋体" w:hAnsi="宋体" w:cs="宋体" w:hint="eastAsia"/>
          <w:color w:val="000000"/>
          <w:kern w:val="0"/>
          <w:sz w:val="24"/>
          <w:szCs w:val="24"/>
        </w:rPr>
        <w:t>所领印花税票，除合同另有规定者外，不得转托他人代售或者转至其他地区销售。</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第三十六条　对</w:t>
      </w:r>
      <w:proofErr w:type="gramStart"/>
      <w:r w:rsidRPr="001852E2">
        <w:rPr>
          <w:rFonts w:ascii="宋体" w:eastAsia="宋体" w:hAnsi="宋体" w:cs="宋体" w:hint="eastAsia"/>
          <w:color w:val="000000"/>
          <w:kern w:val="0"/>
          <w:sz w:val="24"/>
          <w:szCs w:val="24"/>
        </w:rPr>
        <w:t>代售户</w:t>
      </w:r>
      <w:proofErr w:type="gramEnd"/>
      <w:r w:rsidRPr="001852E2">
        <w:rPr>
          <w:rFonts w:ascii="宋体" w:eastAsia="宋体" w:hAnsi="宋体" w:cs="宋体" w:hint="eastAsia"/>
          <w:color w:val="000000"/>
          <w:kern w:val="0"/>
          <w:sz w:val="24"/>
          <w:szCs w:val="24"/>
        </w:rPr>
        <w:t>代售印花税票的工作，税务机关应经常进行指导、检查和监督。</w:t>
      </w:r>
      <w:proofErr w:type="gramStart"/>
      <w:r w:rsidRPr="001852E2">
        <w:rPr>
          <w:rFonts w:ascii="宋体" w:eastAsia="宋体" w:hAnsi="宋体" w:cs="宋体" w:hint="eastAsia"/>
          <w:color w:val="000000"/>
          <w:kern w:val="0"/>
          <w:sz w:val="24"/>
          <w:szCs w:val="24"/>
        </w:rPr>
        <w:t>代售户须</w:t>
      </w:r>
      <w:proofErr w:type="gramEnd"/>
      <w:r w:rsidRPr="001852E2">
        <w:rPr>
          <w:rFonts w:ascii="宋体" w:eastAsia="宋体" w:hAnsi="宋体" w:cs="宋体" w:hint="eastAsia"/>
          <w:color w:val="000000"/>
          <w:kern w:val="0"/>
          <w:sz w:val="24"/>
          <w:szCs w:val="24"/>
        </w:rPr>
        <w:t>详细</w:t>
      </w:r>
      <w:proofErr w:type="gramStart"/>
      <w:r w:rsidRPr="001852E2">
        <w:rPr>
          <w:rFonts w:ascii="宋体" w:eastAsia="宋体" w:hAnsi="宋体" w:cs="宋体" w:hint="eastAsia"/>
          <w:color w:val="000000"/>
          <w:kern w:val="0"/>
          <w:sz w:val="24"/>
          <w:szCs w:val="24"/>
        </w:rPr>
        <w:t>提供领售印花税票</w:t>
      </w:r>
      <w:proofErr w:type="gramEnd"/>
      <w:r w:rsidRPr="001852E2">
        <w:rPr>
          <w:rFonts w:ascii="宋体" w:eastAsia="宋体" w:hAnsi="宋体" w:cs="宋体" w:hint="eastAsia"/>
          <w:color w:val="000000"/>
          <w:kern w:val="0"/>
          <w:sz w:val="24"/>
          <w:szCs w:val="24"/>
        </w:rPr>
        <w:t>的情况，不得拒绝。</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第三十七条　印花税的检查，由税务机关执行。税务人员进行检查时，应当出示税务检查证。纳税人不得以任何借口加以拒绝。</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第三十八条　税务人员查获违反条例规定的凭证，应按有关规定处理。如需将凭证带回的，应出具收据，交被检查人收执。</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第三十九条　纳税人违反本细则第二十二条规定，超过税务机关核定的纳税期限，未缴或者少缴印花税款的，税务机关除令其限期补缴税款外，并从滞纳之日起，按日加收５％的滞纳金。</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lastRenderedPageBreak/>
        <w:t xml:space="preserve">　　第四十条　纳税人违反本细则第二十三条规定的，酌情处以五千元以下罚款；情节严重的，撤销其汇缴许可证。</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第四十一条　纳税人违反本细则第二十五条规定的，酌情处以５０００元以下罚款。</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第四十二条　</w:t>
      </w:r>
      <w:proofErr w:type="gramStart"/>
      <w:r w:rsidRPr="001852E2">
        <w:rPr>
          <w:rFonts w:ascii="宋体" w:eastAsia="宋体" w:hAnsi="宋体" w:cs="宋体" w:hint="eastAsia"/>
          <w:color w:val="000000"/>
          <w:kern w:val="0"/>
          <w:sz w:val="24"/>
          <w:szCs w:val="24"/>
        </w:rPr>
        <w:t>代售户违反</w:t>
      </w:r>
      <w:proofErr w:type="gramEnd"/>
      <w:r w:rsidRPr="001852E2">
        <w:rPr>
          <w:rFonts w:ascii="宋体" w:eastAsia="宋体" w:hAnsi="宋体" w:cs="宋体" w:hint="eastAsia"/>
          <w:color w:val="000000"/>
          <w:kern w:val="0"/>
          <w:sz w:val="24"/>
          <w:szCs w:val="24"/>
        </w:rPr>
        <w:t>本细则第三十三条、第三十五条、第三十六条规定的，视其情节轻重，给予警告处分或者取消其代售资格。</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第四十三条　纳税人不按规定贴花，逃避纳税的，任何单位和个人都有权检举揭发，经税务机关查实处理后，可按规定奖励检举揭发人，并为其保密。</w:t>
      </w:r>
    </w:p>
    <w:p w:rsidR="001852E2" w:rsidRPr="001852E2" w:rsidRDefault="001852E2" w:rsidP="001852E2">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1852E2">
        <w:rPr>
          <w:rFonts w:ascii="宋体" w:eastAsia="宋体" w:hAnsi="宋体" w:cs="宋体" w:hint="eastAsia"/>
          <w:color w:val="000000"/>
          <w:kern w:val="0"/>
          <w:sz w:val="24"/>
          <w:szCs w:val="24"/>
        </w:rPr>
        <w:t xml:space="preserve">　　第四十四条　本细则由国家税务局负责解释。</w:t>
      </w:r>
    </w:p>
    <w:p w:rsidR="001852E2" w:rsidRDefault="001852E2" w:rsidP="001852E2">
      <w:pPr>
        <w:rPr>
          <w:rFonts w:hint="eastAsia"/>
        </w:rPr>
      </w:pPr>
      <w:r w:rsidRPr="001852E2">
        <w:rPr>
          <w:rFonts w:ascii="宋体" w:eastAsia="宋体" w:hAnsi="宋体" w:cs="宋体" w:hint="eastAsia"/>
          <w:color w:val="000000"/>
          <w:kern w:val="0"/>
          <w:sz w:val="24"/>
          <w:szCs w:val="24"/>
        </w:rPr>
        <w:t xml:space="preserve">　　第四十五条　本细则与条例同时施行。</w:t>
      </w:r>
    </w:p>
    <w:p w:rsidR="001852E2" w:rsidRPr="001852E2" w:rsidRDefault="001852E2">
      <w:pPr>
        <w:rPr>
          <w:rFonts w:hint="eastAsia"/>
        </w:rPr>
      </w:pPr>
    </w:p>
    <w:sectPr w:rsidR="001852E2" w:rsidRPr="00185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73"/>
    <w:rsid w:val="001852E2"/>
    <w:rsid w:val="00DE2C73"/>
    <w:rsid w:val="00EE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852E2"/>
    <w:rPr>
      <w:strike w:val="0"/>
      <w:dstrike w:val="0"/>
      <w:color w:val="000000"/>
      <w:u w:val="none"/>
      <w:effect w:val="none"/>
    </w:rPr>
  </w:style>
  <w:style w:type="paragraph" w:styleId="a4">
    <w:name w:val="Normal (Web)"/>
    <w:basedOn w:val="a"/>
    <w:uiPriority w:val="99"/>
    <w:unhideWhenUsed/>
    <w:rsid w:val="001852E2"/>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Balloon Text"/>
    <w:basedOn w:val="a"/>
    <w:link w:val="Char"/>
    <w:uiPriority w:val="99"/>
    <w:semiHidden/>
    <w:unhideWhenUsed/>
    <w:rsid w:val="001852E2"/>
    <w:rPr>
      <w:sz w:val="18"/>
      <w:szCs w:val="18"/>
    </w:rPr>
  </w:style>
  <w:style w:type="character" w:customStyle="1" w:styleId="Char">
    <w:name w:val="批注框文本 Char"/>
    <w:basedOn w:val="a0"/>
    <w:link w:val="a5"/>
    <w:uiPriority w:val="99"/>
    <w:semiHidden/>
    <w:rsid w:val="00185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852E2"/>
    <w:rPr>
      <w:strike w:val="0"/>
      <w:dstrike w:val="0"/>
      <w:color w:val="000000"/>
      <w:u w:val="none"/>
      <w:effect w:val="none"/>
    </w:rPr>
  </w:style>
  <w:style w:type="paragraph" w:styleId="a4">
    <w:name w:val="Normal (Web)"/>
    <w:basedOn w:val="a"/>
    <w:uiPriority w:val="99"/>
    <w:unhideWhenUsed/>
    <w:rsid w:val="001852E2"/>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Balloon Text"/>
    <w:basedOn w:val="a"/>
    <w:link w:val="Char"/>
    <w:uiPriority w:val="99"/>
    <w:semiHidden/>
    <w:unhideWhenUsed/>
    <w:rsid w:val="001852E2"/>
    <w:rPr>
      <w:sz w:val="18"/>
      <w:szCs w:val="18"/>
    </w:rPr>
  </w:style>
  <w:style w:type="character" w:customStyle="1" w:styleId="Char">
    <w:name w:val="批注框文本 Char"/>
    <w:basedOn w:val="a0"/>
    <w:link w:val="a5"/>
    <w:uiPriority w:val="99"/>
    <w:semiHidden/>
    <w:rsid w:val="00185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511</Words>
  <Characters>2918</Characters>
  <Application>Microsoft Office Word</Application>
  <DocSecurity>0</DocSecurity>
  <Lines>24</Lines>
  <Paragraphs>6</Paragraphs>
  <ScaleCrop>false</ScaleCrop>
  <Company>微软中国</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2013-09-06T07:48:00Z</dcterms:created>
  <dcterms:modified xsi:type="dcterms:W3CDTF">2013-09-06T07:50:00Z</dcterms:modified>
</cp:coreProperties>
</file>